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007881C2" w14:textId="77777777" w:rsidR="000B01A4" w:rsidRPr="003110FB" w:rsidRDefault="000B01A4" w:rsidP="000B01A4">
      <w:pPr>
        <w:spacing w:after="0"/>
      </w:pPr>
    </w:p>
    <w:p w14:paraId="403A0A8A" w14:textId="55D53927" w:rsidR="000B01A4" w:rsidRPr="00AA728D" w:rsidRDefault="00896CEB" w:rsidP="000B01A4">
      <w:pPr>
        <w:pStyle w:val="ListParagraph"/>
        <w:spacing w:after="0"/>
        <w:rPr>
          <w:i/>
          <w:color w:val="0070C0"/>
        </w:rPr>
      </w:pPr>
      <w:r w:rsidRPr="00AA728D">
        <w:rPr>
          <w:i/>
          <w:color w:val="0070C0"/>
        </w:rPr>
        <w:t>Operations –</w:t>
      </w:r>
      <w:r w:rsidR="003B22EA" w:rsidRPr="00AA728D">
        <w:rPr>
          <w:i/>
          <w:color w:val="0070C0"/>
        </w:rPr>
        <w:t xml:space="preserve"> Production/Manufacturing </w:t>
      </w:r>
    </w:p>
    <w:p w14:paraId="22CE9A13" w14:textId="77777777" w:rsidR="0059213C" w:rsidRPr="0059213C" w:rsidRDefault="0059213C" w:rsidP="000B01A4">
      <w:pPr>
        <w:pStyle w:val="ListParagraph"/>
        <w:spacing w:after="0"/>
        <w:rPr>
          <w:color w:val="5B9BD5" w:themeColor="accent1"/>
        </w:rPr>
      </w:pPr>
    </w:p>
    <w:p w14:paraId="0DB32DFC" w14:textId="6AF9911C" w:rsidR="007746E2" w:rsidRDefault="00DC4C91" w:rsidP="007A4A8C">
      <w:pPr>
        <w:pStyle w:val="ListParagraph"/>
        <w:numPr>
          <w:ilvl w:val="0"/>
          <w:numId w:val="1"/>
        </w:numPr>
        <w:spacing w:after="0"/>
      </w:pPr>
      <w:r>
        <w:t>Individual s</w:t>
      </w:r>
      <w:r w:rsidR="007746E2" w:rsidRPr="003110FB">
        <w:t xml:space="preserve">ponsor(s): </w:t>
      </w:r>
    </w:p>
    <w:p w14:paraId="0340C095" w14:textId="6628CCB3" w:rsidR="0059213C" w:rsidRPr="0059213C" w:rsidRDefault="0059213C" w:rsidP="0059213C">
      <w:pPr>
        <w:pStyle w:val="ListParagraph"/>
        <w:spacing w:after="0"/>
        <w:rPr>
          <w:color w:val="5B9BD5" w:themeColor="accent1"/>
        </w:rPr>
      </w:pPr>
    </w:p>
    <w:p w14:paraId="4641CE30" w14:textId="0708B288" w:rsidR="0059213C" w:rsidRPr="00AA728D" w:rsidRDefault="0059213C" w:rsidP="0059213C">
      <w:pPr>
        <w:pStyle w:val="ListParagraph"/>
        <w:spacing w:after="0"/>
        <w:rPr>
          <w:i/>
          <w:color w:val="0070C0"/>
        </w:rPr>
      </w:pPr>
      <w:r w:rsidRPr="00AA728D">
        <w:rPr>
          <w:i/>
          <w:color w:val="0070C0"/>
        </w:rPr>
        <w:t>Andrea Zeller</w:t>
      </w:r>
    </w:p>
    <w:p w14:paraId="2DF7D040" w14:textId="2577D039" w:rsidR="000B01A4" w:rsidRPr="00AA728D" w:rsidRDefault="0059213C" w:rsidP="000B01A4">
      <w:pPr>
        <w:spacing w:after="0"/>
        <w:rPr>
          <w:i/>
          <w:color w:val="0070C0"/>
        </w:rPr>
      </w:pPr>
      <w:r w:rsidRPr="00AA728D">
        <w:rPr>
          <w:i/>
          <w:color w:val="0070C0"/>
        </w:rPr>
        <w:tab/>
        <w:t>Meg Collins</w:t>
      </w:r>
    </w:p>
    <w:p w14:paraId="007BE437" w14:textId="0098A314" w:rsidR="0059213C" w:rsidRPr="00AA728D" w:rsidRDefault="0059213C" w:rsidP="000B01A4">
      <w:pPr>
        <w:spacing w:after="0"/>
        <w:rPr>
          <w:i/>
          <w:color w:val="0070C0"/>
        </w:rPr>
      </w:pPr>
      <w:r w:rsidRPr="00AA728D">
        <w:rPr>
          <w:i/>
          <w:color w:val="0070C0"/>
        </w:rPr>
        <w:tab/>
        <w:t>Jacob Ward</w:t>
      </w:r>
    </w:p>
    <w:p w14:paraId="7AB4F68D" w14:textId="5BCDA870" w:rsidR="0059213C" w:rsidRPr="00AA728D" w:rsidRDefault="0059213C" w:rsidP="000B01A4">
      <w:pPr>
        <w:spacing w:after="0"/>
        <w:rPr>
          <w:i/>
          <w:color w:val="0070C0"/>
        </w:rPr>
      </w:pPr>
      <w:r w:rsidRPr="00AA728D">
        <w:rPr>
          <w:i/>
          <w:color w:val="0070C0"/>
        </w:rPr>
        <w:tab/>
        <w:t>Brian Hyun</w:t>
      </w:r>
    </w:p>
    <w:p w14:paraId="16FCE777" w14:textId="77777777" w:rsidR="000B01A4" w:rsidRPr="003110FB" w:rsidRDefault="000B01A4" w:rsidP="000B01A4">
      <w:pPr>
        <w:spacing w:after="0"/>
      </w:pP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1D5FEC54" w14:textId="77777777" w:rsidR="00E9081E" w:rsidRPr="003110FB" w:rsidRDefault="00E9081E" w:rsidP="0059213C">
      <w:pPr>
        <w:spacing w:after="0"/>
        <w:ind w:left="360"/>
      </w:pPr>
    </w:p>
    <w:p w14:paraId="03FA13C8" w14:textId="206C24DE" w:rsidR="00E9081E" w:rsidRPr="00AA728D" w:rsidRDefault="0059213C" w:rsidP="0059213C">
      <w:pPr>
        <w:spacing w:after="0"/>
        <w:ind w:left="720"/>
        <w:rPr>
          <w:i/>
          <w:color w:val="0070C0"/>
        </w:rPr>
      </w:pPr>
      <w:r w:rsidRPr="00AA728D">
        <w:rPr>
          <w:i/>
          <w:color w:val="0070C0"/>
        </w:rPr>
        <w:t>Proposal for serving size and packaging requirements of recreational edibles marijuana products. The proposal suggests limiting the edible s</w:t>
      </w:r>
      <w:r w:rsidR="003B22EA" w:rsidRPr="00AA728D">
        <w:rPr>
          <w:i/>
          <w:color w:val="0070C0"/>
        </w:rPr>
        <w:t xml:space="preserve">erving size to 10mg of THC and 100mg of total THC per edible product.  </w:t>
      </w:r>
    </w:p>
    <w:p w14:paraId="3CADE330" w14:textId="77777777" w:rsidR="00E9081E" w:rsidRPr="00AA728D" w:rsidRDefault="00E9081E" w:rsidP="00E9081E">
      <w:pPr>
        <w:spacing w:after="0"/>
        <w:rPr>
          <w:i/>
        </w:rPr>
      </w:pPr>
    </w:p>
    <w:p w14:paraId="3DD8F73D" w14:textId="77777777" w:rsidR="003B22EA" w:rsidRDefault="00DC4C91" w:rsidP="003B22EA">
      <w:pPr>
        <w:pStyle w:val="ListParagraph"/>
        <w:numPr>
          <w:ilvl w:val="0"/>
          <w:numId w:val="1"/>
        </w:numPr>
        <w:spacing w:after="0"/>
      </w:pPr>
      <w:r>
        <w:t>Which guiding p</w:t>
      </w:r>
      <w:r w:rsidR="00E9081E" w:rsidRPr="003110FB">
        <w:t>rinciple(s) does this recommendation support?</w:t>
      </w:r>
    </w:p>
    <w:p w14:paraId="39DDE46B" w14:textId="77777777" w:rsidR="003B22EA" w:rsidRDefault="003B22EA" w:rsidP="003B22EA">
      <w:pPr>
        <w:pStyle w:val="ListParagraph"/>
        <w:spacing w:after="0"/>
      </w:pPr>
    </w:p>
    <w:p w14:paraId="51E382ED" w14:textId="4791A7C4" w:rsidR="003B22EA" w:rsidRPr="00AA728D" w:rsidRDefault="003B22EA" w:rsidP="003B22EA">
      <w:pPr>
        <w:pStyle w:val="ListParagraph"/>
        <w:spacing w:after="0"/>
        <w:rPr>
          <w:i/>
          <w:color w:val="0070C0"/>
        </w:rPr>
      </w:pPr>
      <w:r w:rsidRPr="00AA728D">
        <w:rPr>
          <w:i/>
          <w:color w:val="0070C0"/>
        </w:rPr>
        <w:t>Guiding Principle 1: Promote the health, safety, and well-being of Nevada’s communities</w:t>
      </w:r>
    </w:p>
    <w:p w14:paraId="7A755D96" w14:textId="77777777" w:rsidR="003B22EA" w:rsidRPr="00AA728D" w:rsidRDefault="003B22EA" w:rsidP="003B22EA">
      <w:pPr>
        <w:spacing w:after="0"/>
        <w:ind w:left="720"/>
        <w:rPr>
          <w:i/>
          <w:color w:val="0070C0"/>
        </w:rPr>
      </w:pPr>
    </w:p>
    <w:p w14:paraId="31593C91" w14:textId="3BFD2E1E" w:rsidR="003B22EA" w:rsidRPr="00AA728D" w:rsidRDefault="003B22EA" w:rsidP="003B22EA">
      <w:pPr>
        <w:spacing w:after="0"/>
        <w:ind w:left="720"/>
        <w:rPr>
          <w:i/>
          <w:color w:val="0070C0"/>
        </w:rPr>
      </w:pPr>
      <w:r w:rsidRPr="00AA728D">
        <w:rPr>
          <w:i/>
          <w:color w:val="0070C0"/>
        </w:rPr>
        <w:t xml:space="preserve">Guiding Principle 3: Ensure that youth are protected from the risks associated with marijuana, including preventing the diversion of marijuana to anyone under the age of </w:t>
      </w:r>
      <w:r w:rsidR="00AA728D" w:rsidRPr="00AA728D">
        <w:rPr>
          <w:i/>
          <w:color w:val="0070C0"/>
        </w:rPr>
        <w:t>twenty-one</w:t>
      </w:r>
    </w:p>
    <w:p w14:paraId="790527A9" w14:textId="77777777" w:rsidR="003B22EA" w:rsidRPr="00AA728D" w:rsidRDefault="003B22EA" w:rsidP="003B22EA">
      <w:pPr>
        <w:spacing w:after="0"/>
        <w:ind w:left="720"/>
        <w:rPr>
          <w:i/>
          <w:color w:val="0070C0"/>
        </w:rPr>
      </w:pPr>
    </w:p>
    <w:p w14:paraId="627E106F" w14:textId="477545D7" w:rsidR="003B22EA" w:rsidRPr="00AA728D" w:rsidRDefault="003B22EA" w:rsidP="003B22EA">
      <w:pPr>
        <w:spacing w:after="0"/>
        <w:ind w:left="720"/>
        <w:rPr>
          <w:i/>
          <w:color w:val="0070C0"/>
        </w:rPr>
      </w:pPr>
      <w:r w:rsidRPr="00AA728D">
        <w:rPr>
          <w:i/>
          <w:color w:val="0070C0"/>
        </w:rPr>
        <w:t>Guiding Principle 4: Propose efficient and effective regulation that is clear and reasonable and not unduly burdensome</w:t>
      </w:r>
    </w:p>
    <w:p w14:paraId="2DC7E08C" w14:textId="77777777" w:rsidR="00E9081E" w:rsidRPr="00AA728D" w:rsidRDefault="00E9081E" w:rsidP="00E9081E">
      <w:pPr>
        <w:spacing w:after="0"/>
        <w:rPr>
          <w:i/>
        </w:rPr>
      </w:pPr>
    </w:p>
    <w:p w14:paraId="67FE160D" w14:textId="77777777" w:rsidR="00E9081E" w:rsidRPr="003110FB" w:rsidRDefault="00E9081E" w:rsidP="00E9081E">
      <w:pPr>
        <w:pStyle w:val="ListParagraph"/>
        <w:numPr>
          <w:ilvl w:val="0"/>
          <w:numId w:val="1"/>
        </w:numPr>
        <w:spacing w:after="0"/>
      </w:pPr>
      <w:r w:rsidRPr="003110FB">
        <w:t xml:space="preserve">What provision(s) of Question 2 does this recommendation apply to?  </w:t>
      </w:r>
    </w:p>
    <w:p w14:paraId="19A0DD99" w14:textId="77777777" w:rsidR="00E9081E" w:rsidRPr="003110FB" w:rsidRDefault="00E9081E" w:rsidP="00E9081E">
      <w:pPr>
        <w:pStyle w:val="ListParagraph"/>
        <w:spacing w:after="0"/>
      </w:pPr>
    </w:p>
    <w:p w14:paraId="4B61E723" w14:textId="5C8FC3E7" w:rsidR="00E9081E" w:rsidRPr="00AA728D" w:rsidRDefault="00155BE4" w:rsidP="00E9081E">
      <w:pPr>
        <w:pStyle w:val="ListParagraph"/>
        <w:spacing w:after="0"/>
        <w:rPr>
          <w:i/>
          <w:color w:val="0070C0"/>
        </w:rPr>
      </w:pPr>
      <w:r w:rsidRPr="00AA728D">
        <w:rPr>
          <w:i/>
          <w:color w:val="0070C0"/>
        </w:rPr>
        <w:t>Provides</w:t>
      </w:r>
      <w:r w:rsidR="00704B3B" w:rsidRPr="00AA728D">
        <w:rPr>
          <w:i/>
          <w:color w:val="0070C0"/>
        </w:rPr>
        <w:t xml:space="preserve"> definition and</w:t>
      </w:r>
      <w:r w:rsidRPr="00AA728D">
        <w:rPr>
          <w:i/>
          <w:color w:val="0070C0"/>
        </w:rPr>
        <w:t xml:space="preserve"> regulation on the per serving and total p</w:t>
      </w:r>
      <w:r w:rsidR="00704B3B" w:rsidRPr="00AA728D">
        <w:rPr>
          <w:i/>
          <w:color w:val="0070C0"/>
        </w:rPr>
        <w:t>ackaging limitation of THC size.</w:t>
      </w:r>
    </w:p>
    <w:p w14:paraId="3F4F9EA1" w14:textId="77777777" w:rsidR="00E9081E" w:rsidRPr="003110FB" w:rsidRDefault="00E9081E" w:rsidP="00E9081E">
      <w:pPr>
        <w:pStyle w:val="ListParagraph"/>
        <w:spacing w:after="0"/>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5C6BCCA4" w14:textId="77777777" w:rsidR="001B0ADC" w:rsidRPr="003110FB" w:rsidRDefault="001B0ADC" w:rsidP="001B0ADC">
      <w:pPr>
        <w:spacing w:after="0"/>
      </w:pPr>
    </w:p>
    <w:p w14:paraId="1377ECA8" w14:textId="125B4F36" w:rsidR="001B0ADC" w:rsidRPr="00AA728D" w:rsidRDefault="00155BE4" w:rsidP="00155BE4">
      <w:pPr>
        <w:spacing w:after="0"/>
        <w:ind w:left="720"/>
        <w:rPr>
          <w:i/>
          <w:color w:val="0070C0"/>
        </w:rPr>
      </w:pPr>
      <w:r w:rsidRPr="00AA728D">
        <w:rPr>
          <w:i/>
          <w:color w:val="0070C0"/>
        </w:rPr>
        <w:t xml:space="preserve">This recommendation </w:t>
      </w:r>
      <w:r w:rsidR="000E40FB" w:rsidRPr="00AA728D">
        <w:rPr>
          <w:i/>
          <w:color w:val="0070C0"/>
        </w:rPr>
        <w:t xml:space="preserve">provides </w:t>
      </w:r>
      <w:r w:rsidRPr="00AA728D">
        <w:rPr>
          <w:i/>
          <w:color w:val="0070C0"/>
        </w:rPr>
        <w:t>the State regulators, marijuana infused product producers an</w:t>
      </w:r>
      <w:r w:rsidR="000E40FB" w:rsidRPr="00AA728D">
        <w:rPr>
          <w:i/>
          <w:color w:val="0070C0"/>
        </w:rPr>
        <w:t xml:space="preserve">d manufacturers the per serving size and total package of THC limitations to the recreational markets. </w:t>
      </w:r>
    </w:p>
    <w:p w14:paraId="224690D3" w14:textId="77777777" w:rsidR="000E40FB" w:rsidRPr="000E40FB" w:rsidRDefault="000E40FB" w:rsidP="00155BE4">
      <w:pPr>
        <w:spacing w:after="0"/>
        <w:ind w:left="720"/>
        <w:rPr>
          <w:color w:val="0070C0"/>
        </w:rPr>
      </w:pPr>
    </w:p>
    <w:p w14:paraId="7EE888FD" w14:textId="7C9687E3"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5E80B2C" w14:textId="77777777" w:rsidR="000E40FB" w:rsidRPr="003110FB" w:rsidRDefault="000E40FB" w:rsidP="000E40FB">
      <w:pPr>
        <w:pStyle w:val="ListParagraph"/>
        <w:spacing w:after="0"/>
      </w:pPr>
    </w:p>
    <w:p w14:paraId="30E263BB" w14:textId="3E0BF915" w:rsidR="00E9081E" w:rsidRPr="00AA728D" w:rsidRDefault="000E40FB" w:rsidP="000E40FB">
      <w:pPr>
        <w:spacing w:after="0"/>
        <w:ind w:left="720"/>
        <w:rPr>
          <w:i/>
          <w:color w:val="0070C0"/>
        </w:rPr>
      </w:pPr>
      <w:r w:rsidRPr="00AA728D">
        <w:rPr>
          <w:i/>
          <w:color w:val="0070C0"/>
        </w:rPr>
        <w:t>No dissent</w:t>
      </w:r>
    </w:p>
    <w:p w14:paraId="3588FBE3" w14:textId="77777777" w:rsidR="00E9081E" w:rsidRPr="003110FB" w:rsidRDefault="00E9081E" w:rsidP="00E9081E">
      <w:pPr>
        <w:spacing w:after="0"/>
      </w:pPr>
    </w:p>
    <w:p w14:paraId="6333FE17" w14:textId="77777777" w:rsidR="00E9081E" w:rsidRPr="003110FB" w:rsidRDefault="00E9081E" w:rsidP="007A4A8C">
      <w:pPr>
        <w:pStyle w:val="ListParagraph"/>
        <w:numPr>
          <w:ilvl w:val="0"/>
          <w:numId w:val="1"/>
        </w:numPr>
        <w:spacing w:after="0"/>
      </w:pPr>
      <w:r w:rsidRPr="003110FB">
        <w:lastRenderedPageBreak/>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704B3B">
      <w:pPr>
        <w:pStyle w:val="ListParagraph"/>
        <w:spacing w:after="0"/>
        <w:ind w:left="1440"/>
      </w:pPr>
    </w:p>
    <w:p w14:paraId="02AE6ECE" w14:textId="443546AC" w:rsidR="007C2F2E" w:rsidRPr="00AA728D" w:rsidRDefault="007C2F2E" w:rsidP="00AA728D">
      <w:pPr>
        <w:ind w:left="720"/>
        <w:jc w:val="both"/>
        <w:rPr>
          <w:i/>
          <w:color w:val="0070C0"/>
        </w:rPr>
      </w:pPr>
      <w:bookmarkStart w:id="0" w:name="_GoBack"/>
      <w:r w:rsidRPr="00AA728D">
        <w:rPr>
          <w:b/>
          <w:i/>
          <w:color w:val="0070C0"/>
        </w:rPr>
        <w:t>Multiple-Serving Edible Retail Marijuana Product</w:t>
      </w:r>
      <w:r w:rsidRPr="00AA728D">
        <w:rPr>
          <w:i/>
          <w:color w:val="0070C0"/>
        </w:rPr>
        <w:t xml:space="preserve"> means an Edible Retail Marijuana Product unit for sale to consumers containing more than 10mg of active THC and no more than 100mg of active THC</w:t>
      </w:r>
      <w:r w:rsidR="00FB6871" w:rsidRPr="00AA728D">
        <w:rPr>
          <w:i/>
          <w:color w:val="0070C0"/>
        </w:rPr>
        <w:t xml:space="preserve"> within a variance of +/- 15%</w:t>
      </w:r>
      <w:r w:rsidRPr="00AA728D">
        <w:rPr>
          <w:i/>
          <w:color w:val="0070C0"/>
        </w:rPr>
        <w:t>. If the overall Edible Retail Marijuana Product unit for sale to the consumer consists of multiple pieces where each individual piece may contain less than 10mg active THC, yet in total all pieces combined within the unit for sale contain more than 10mg of active THC, then the Edible Retail Marijuana Product shall be considered a Multiple-Serving Edibl</w:t>
      </w:r>
      <w:r w:rsidR="00FB6871" w:rsidRPr="00AA728D">
        <w:rPr>
          <w:i/>
          <w:color w:val="0070C0"/>
        </w:rPr>
        <w:t xml:space="preserve">e Retail Marijuana Product. </w:t>
      </w:r>
    </w:p>
    <w:bookmarkEnd w:id="0"/>
    <w:p w14:paraId="78DD8FCD" w14:textId="404B3795" w:rsidR="007C2F2E" w:rsidRPr="00D227B6" w:rsidRDefault="007C2F2E" w:rsidP="00AA728D">
      <w:pPr>
        <w:ind w:left="720"/>
        <w:jc w:val="both"/>
        <w:rPr>
          <w:i/>
          <w:color w:val="0070C0"/>
        </w:rPr>
      </w:pPr>
      <w:r w:rsidRPr="00D227B6">
        <w:rPr>
          <w:b/>
          <w:i/>
          <w:color w:val="0070C0"/>
        </w:rPr>
        <w:t>Single-Serving Edible Retail Marijuana Product</w:t>
      </w:r>
      <w:r w:rsidRPr="00D227B6">
        <w:rPr>
          <w:i/>
          <w:color w:val="0070C0"/>
        </w:rPr>
        <w:t xml:space="preserve"> means an Edible Retail Marijuana Product unit for sale to consumers containing no mo</w:t>
      </w:r>
      <w:r w:rsidR="00FB6871" w:rsidRPr="00D227B6">
        <w:rPr>
          <w:i/>
          <w:color w:val="0070C0"/>
        </w:rPr>
        <w:t xml:space="preserve">re than 10mg of active THC. </w:t>
      </w:r>
    </w:p>
    <w:p w14:paraId="44E96679" w14:textId="2ACCE9D6" w:rsidR="00AE19E5" w:rsidRPr="00D227B6" w:rsidRDefault="00AE19E5" w:rsidP="00AA728D">
      <w:pPr>
        <w:ind w:left="720"/>
        <w:jc w:val="both"/>
        <w:rPr>
          <w:rFonts w:eastAsia="Times New Roman" w:cs="Times New Roman"/>
          <w:i/>
          <w:color w:val="0070C0"/>
        </w:rPr>
      </w:pPr>
      <w:r w:rsidRPr="00D227B6">
        <w:rPr>
          <w:rFonts w:eastAsia="Times New Roman" w:cs="Times New Roman"/>
          <w:b/>
          <w:i/>
          <w:color w:val="0070C0"/>
        </w:rPr>
        <w:t xml:space="preserve">Liquid Edible Retail Marijuana Product </w:t>
      </w:r>
      <w:r w:rsidRPr="00D227B6">
        <w:rPr>
          <w:rFonts w:eastAsia="Times New Roman" w:cs="Times New Roman"/>
          <w:i/>
          <w:color w:val="0070C0"/>
        </w:rPr>
        <w:t xml:space="preserve">that contains </w:t>
      </w:r>
      <w:r w:rsidR="00981673" w:rsidRPr="00D227B6">
        <w:rPr>
          <w:rFonts w:eastAsia="Times New Roman" w:cs="Times New Roman"/>
          <w:i/>
          <w:color w:val="0070C0"/>
        </w:rPr>
        <w:t>a single or multi</w:t>
      </w:r>
      <w:r w:rsidRPr="00D227B6">
        <w:rPr>
          <w:rFonts w:eastAsia="Times New Roman" w:cs="Times New Roman"/>
          <w:i/>
          <w:color w:val="0070C0"/>
        </w:rPr>
        <w:t xml:space="preserve"> Serving </w:t>
      </w:r>
      <w:r w:rsidR="00FB6871" w:rsidRPr="00D227B6">
        <w:rPr>
          <w:rFonts w:eastAsia="Times New Roman" w:cs="Times New Roman"/>
          <w:i/>
          <w:color w:val="0070C0"/>
        </w:rPr>
        <w:t>of</w:t>
      </w:r>
      <w:r w:rsidRPr="00D227B6">
        <w:rPr>
          <w:rFonts w:eastAsia="Times New Roman" w:cs="Times New Roman"/>
          <w:i/>
          <w:color w:val="0070C0"/>
        </w:rPr>
        <w:t xml:space="preserve"> Marijuana. </w:t>
      </w:r>
    </w:p>
    <w:p w14:paraId="490D00A8" w14:textId="64AFBC64" w:rsidR="00AE19E5" w:rsidRPr="00AA728D" w:rsidRDefault="00AE19E5" w:rsidP="00AA728D">
      <w:pPr>
        <w:pStyle w:val="ListParagraph"/>
        <w:numPr>
          <w:ilvl w:val="0"/>
          <w:numId w:val="3"/>
        </w:numPr>
        <w:spacing w:after="0" w:line="240" w:lineRule="auto"/>
        <w:jc w:val="both"/>
        <w:rPr>
          <w:rFonts w:eastAsia="Times New Roman" w:cs="Times New Roman"/>
          <w:i/>
          <w:color w:val="0070C0"/>
        </w:rPr>
      </w:pPr>
      <w:r w:rsidRPr="00AA728D">
        <w:rPr>
          <w:rFonts w:eastAsia="Times New Roman" w:cs="Times New Roman"/>
          <w:i/>
          <w:color w:val="0070C0"/>
        </w:rPr>
        <w:t>A Retail Marijuana Products Manufacturing Facility must ensure that each product is packaged in a Child-Resistant Container that maintains its Child-Resistant effective</w:t>
      </w:r>
      <w:r w:rsidR="00FB6871" w:rsidRPr="00AA728D">
        <w:rPr>
          <w:rFonts w:eastAsia="Times New Roman" w:cs="Times New Roman"/>
          <w:i/>
          <w:color w:val="0070C0"/>
        </w:rPr>
        <w:t xml:space="preserve">ness for multiple openings prior to leaving the retail marijuana establishment in the hands of the consumer. </w:t>
      </w:r>
    </w:p>
    <w:p w14:paraId="12DEF890" w14:textId="0F563041" w:rsidR="00AE19E5" w:rsidRPr="00AA728D" w:rsidRDefault="00AE19E5" w:rsidP="00AA728D">
      <w:pPr>
        <w:pStyle w:val="ListParagraph"/>
        <w:numPr>
          <w:ilvl w:val="0"/>
          <w:numId w:val="3"/>
        </w:numPr>
        <w:spacing w:after="0" w:line="240" w:lineRule="auto"/>
        <w:jc w:val="both"/>
        <w:rPr>
          <w:rFonts w:eastAsia="Times New Roman" w:cs="Times New Roman"/>
          <w:i/>
          <w:color w:val="0070C0"/>
        </w:rPr>
      </w:pPr>
      <w:r w:rsidRPr="00AA728D">
        <w:rPr>
          <w:rFonts w:eastAsia="Times New Roman" w:cs="Times New Roman"/>
          <w:i/>
          <w:color w:val="0070C0"/>
        </w:rPr>
        <w:t xml:space="preserve">ii. The Container shall clearly demark each Serving </w:t>
      </w:r>
      <w:r w:rsidR="00FB6871" w:rsidRPr="00AA728D">
        <w:rPr>
          <w:rFonts w:eastAsia="Times New Roman" w:cs="Times New Roman"/>
          <w:i/>
          <w:color w:val="0070C0"/>
        </w:rPr>
        <w:t>of</w:t>
      </w:r>
      <w:r w:rsidRPr="00AA728D">
        <w:rPr>
          <w:rFonts w:eastAsia="Times New Roman" w:cs="Times New Roman"/>
          <w:i/>
          <w:color w:val="0070C0"/>
        </w:rPr>
        <w:t xml:space="preserve"> Marijuana in a way that enables a reasonable person to intuitively determine how much of the product constitutes a single serving of active THC. The portion of the Container that clearly demarks each Serving </w:t>
      </w:r>
      <w:r w:rsidR="00FB6871" w:rsidRPr="00AA728D">
        <w:rPr>
          <w:rFonts w:eastAsia="Times New Roman" w:cs="Times New Roman"/>
          <w:i/>
          <w:color w:val="0070C0"/>
        </w:rPr>
        <w:t>of</w:t>
      </w:r>
      <w:r w:rsidRPr="00AA728D">
        <w:rPr>
          <w:rFonts w:eastAsia="Times New Roman" w:cs="Times New Roman"/>
          <w:i/>
          <w:color w:val="0070C0"/>
        </w:rPr>
        <w:t xml:space="preserve"> Marijuana need not be Opaque; OR </w:t>
      </w:r>
    </w:p>
    <w:p w14:paraId="0EF26363" w14:textId="77777777" w:rsidR="00AE19E5" w:rsidRPr="00AA728D" w:rsidRDefault="00AE19E5" w:rsidP="00AA728D">
      <w:pPr>
        <w:pStyle w:val="ListParagraph"/>
        <w:numPr>
          <w:ilvl w:val="0"/>
          <w:numId w:val="3"/>
        </w:numPr>
        <w:spacing w:after="0" w:line="240" w:lineRule="auto"/>
        <w:jc w:val="both"/>
        <w:rPr>
          <w:rFonts w:eastAsia="Times New Roman" w:cs="Times New Roman"/>
          <w:i/>
          <w:color w:val="0070C0"/>
        </w:rPr>
      </w:pPr>
      <w:r w:rsidRPr="00AA728D">
        <w:rPr>
          <w:rFonts w:eastAsia="Times New Roman" w:cs="Times New Roman"/>
          <w:i/>
          <w:color w:val="0070C0"/>
        </w:rPr>
        <w:t xml:space="preserve">iii. The Container shall include a device that allows a reasonable person to intuitively measure and serve a single serving of active THC. </w:t>
      </w:r>
    </w:p>
    <w:p w14:paraId="7530A913" w14:textId="77777777" w:rsidR="00AE19E5" w:rsidRPr="00AA728D" w:rsidRDefault="00AE19E5" w:rsidP="00704B3B">
      <w:pPr>
        <w:ind w:left="720"/>
        <w:rPr>
          <w:color w:val="0070C0"/>
        </w:rPr>
      </w:pPr>
    </w:p>
    <w:p w14:paraId="1EC95596" w14:textId="5920B617"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r w:rsidR="00AA728D" w:rsidRPr="003110FB">
        <w:t>etc.</w:t>
      </w:r>
      <w:r w:rsidRPr="003110FB">
        <w:t>)</w:t>
      </w:r>
      <w:r w:rsidR="00B70E4E" w:rsidRPr="003110FB">
        <w:t>.</w:t>
      </w:r>
    </w:p>
    <w:p w14:paraId="6BBB2368" w14:textId="185E3A6A" w:rsidR="00753FA6" w:rsidRPr="003110FB" w:rsidRDefault="00753FA6" w:rsidP="007A4A8C">
      <w:pPr>
        <w:spacing w:after="0"/>
      </w:pPr>
    </w:p>
    <w:p w14:paraId="071157DF" w14:textId="48E8EAF3" w:rsidR="00CC30A8" w:rsidRPr="00AA728D" w:rsidRDefault="000E40FB" w:rsidP="000E40FB">
      <w:pPr>
        <w:spacing w:after="0"/>
        <w:ind w:left="720"/>
        <w:rPr>
          <w:i/>
          <w:color w:val="0070C0"/>
        </w:rPr>
      </w:pPr>
      <w:r w:rsidRPr="00AA728D">
        <w:rPr>
          <w:i/>
          <w:color w:val="0070C0"/>
        </w:rPr>
        <w:t>None</w:t>
      </w:r>
    </w:p>
    <w:p w14:paraId="054A4F76" w14:textId="69AEA1D0"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77D02" w14:textId="77777777" w:rsidR="00C92928" w:rsidRDefault="00C92928" w:rsidP="00391997">
      <w:pPr>
        <w:spacing w:after="0" w:line="240" w:lineRule="auto"/>
      </w:pPr>
      <w:r>
        <w:separator/>
      </w:r>
    </w:p>
  </w:endnote>
  <w:endnote w:type="continuationSeparator" w:id="0">
    <w:p w14:paraId="5EC039EA" w14:textId="77777777" w:rsidR="00C92928" w:rsidRDefault="00C92928"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0B4834D1"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9167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FC5FC8">
      <w:rPr>
        <w:rFonts w:ascii="Calibri" w:eastAsia="Times New Roman" w:hAnsi="Calibri" w:cs="Times New Roman"/>
        <w:b/>
        <w:i/>
        <w:color w:val="3737A5"/>
        <w:sz w:val="16"/>
        <w:szCs w:val="16"/>
      </w:rPr>
      <w:t>Serving Sizes and Packaging Limitations v. 2 -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5FC8">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BB9B2" w14:textId="77777777" w:rsidR="00C92928" w:rsidRDefault="00C92928" w:rsidP="00391997">
      <w:pPr>
        <w:spacing w:after="0" w:line="240" w:lineRule="auto"/>
      </w:pPr>
      <w:r>
        <w:separator/>
      </w:r>
    </w:p>
  </w:footnote>
  <w:footnote w:type="continuationSeparator" w:id="0">
    <w:p w14:paraId="6412B40E" w14:textId="77777777" w:rsidR="00C92928" w:rsidRDefault="00C92928"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480B9289" w:rsidR="00F43822" w:rsidRPr="00F43822" w:rsidRDefault="00763ACE" w:rsidP="008313F9">
    <w:pPr>
      <w:pStyle w:val="Heading2"/>
      <w:ind w:left="0"/>
      <w:jc w:val="center"/>
      <w:rPr>
        <w:sz w:val="22"/>
        <w:szCs w:val="22"/>
      </w:rPr>
    </w:pPr>
    <w:r>
      <w:rPr>
        <w:sz w:val="22"/>
        <w:szCs w:val="22"/>
      </w:rPr>
      <w:t>Serving Size and Packaging Limitations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3EF8"/>
    <w:multiLevelType w:val="hybridMultilevel"/>
    <w:tmpl w:val="A3F20C28"/>
    <w:lvl w:ilvl="0" w:tplc="915ACB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9374AD"/>
    <w:multiLevelType w:val="hybridMultilevel"/>
    <w:tmpl w:val="DACC5D74"/>
    <w:lvl w:ilvl="0" w:tplc="E1A06CB6">
      <w:start w:val="1"/>
      <w:numFmt w:val="decimal"/>
      <w:lvlText w:val="%1."/>
      <w:lvlJc w:val="left"/>
      <w:pPr>
        <w:ind w:left="821" w:hanging="360"/>
      </w:pPr>
    </w:lvl>
    <w:lvl w:ilvl="1" w:tplc="04090019">
      <w:start w:val="1"/>
      <w:numFmt w:val="lowerLetter"/>
      <w:lvlText w:val="%2."/>
      <w:lvlJc w:val="left"/>
      <w:pPr>
        <w:ind w:left="1541" w:hanging="360"/>
      </w:pPr>
    </w:lvl>
    <w:lvl w:ilvl="2" w:tplc="0409001B">
      <w:start w:val="1"/>
      <w:numFmt w:val="lowerRoman"/>
      <w:lvlText w:val="%3."/>
      <w:lvlJc w:val="right"/>
      <w:pPr>
        <w:ind w:left="2261" w:hanging="180"/>
      </w:pPr>
    </w:lvl>
    <w:lvl w:ilvl="3" w:tplc="0409000F">
      <w:start w:val="1"/>
      <w:numFmt w:val="decimal"/>
      <w:lvlText w:val="%4."/>
      <w:lvlJc w:val="left"/>
      <w:pPr>
        <w:ind w:left="2981" w:hanging="360"/>
      </w:pPr>
    </w:lvl>
    <w:lvl w:ilvl="4" w:tplc="04090019">
      <w:start w:val="1"/>
      <w:numFmt w:val="lowerLetter"/>
      <w:lvlText w:val="%5."/>
      <w:lvlJc w:val="left"/>
      <w:pPr>
        <w:ind w:left="3701" w:hanging="360"/>
      </w:pPr>
    </w:lvl>
    <w:lvl w:ilvl="5" w:tplc="0409001B">
      <w:start w:val="1"/>
      <w:numFmt w:val="lowerRoman"/>
      <w:lvlText w:val="%6."/>
      <w:lvlJc w:val="right"/>
      <w:pPr>
        <w:ind w:left="4421" w:hanging="180"/>
      </w:pPr>
    </w:lvl>
    <w:lvl w:ilvl="6" w:tplc="0409000F">
      <w:start w:val="1"/>
      <w:numFmt w:val="decimal"/>
      <w:lvlText w:val="%7."/>
      <w:lvlJc w:val="left"/>
      <w:pPr>
        <w:ind w:left="5141" w:hanging="360"/>
      </w:pPr>
    </w:lvl>
    <w:lvl w:ilvl="7" w:tplc="04090019">
      <w:start w:val="1"/>
      <w:numFmt w:val="lowerLetter"/>
      <w:lvlText w:val="%8."/>
      <w:lvlJc w:val="left"/>
      <w:pPr>
        <w:ind w:left="5861" w:hanging="360"/>
      </w:pPr>
    </w:lvl>
    <w:lvl w:ilvl="8" w:tplc="0409001B">
      <w:start w:val="1"/>
      <w:numFmt w:val="lowerRoman"/>
      <w:lvlText w:val="%9."/>
      <w:lvlJc w:val="right"/>
      <w:pPr>
        <w:ind w:left="6581" w:hanging="180"/>
      </w:pPr>
    </w:lvl>
  </w:abstractNum>
  <w:abstractNum w:abstractNumId="2">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0E40FB"/>
    <w:rsid w:val="00114EF2"/>
    <w:rsid w:val="00155BE4"/>
    <w:rsid w:val="001866F9"/>
    <w:rsid w:val="001B0ADC"/>
    <w:rsid w:val="001B10FF"/>
    <w:rsid w:val="00202E4C"/>
    <w:rsid w:val="002072BA"/>
    <w:rsid w:val="0023729A"/>
    <w:rsid w:val="003110FB"/>
    <w:rsid w:val="00371AF9"/>
    <w:rsid w:val="00391997"/>
    <w:rsid w:val="003B22EA"/>
    <w:rsid w:val="004039AB"/>
    <w:rsid w:val="00435662"/>
    <w:rsid w:val="00442A3F"/>
    <w:rsid w:val="00511EB6"/>
    <w:rsid w:val="00565923"/>
    <w:rsid w:val="0059213C"/>
    <w:rsid w:val="005E102D"/>
    <w:rsid w:val="006B0A7E"/>
    <w:rsid w:val="006D4662"/>
    <w:rsid w:val="00700DCA"/>
    <w:rsid w:val="00704B3B"/>
    <w:rsid w:val="00753FA6"/>
    <w:rsid w:val="00763ACE"/>
    <w:rsid w:val="007746E2"/>
    <w:rsid w:val="00774894"/>
    <w:rsid w:val="007765FD"/>
    <w:rsid w:val="007A4A8C"/>
    <w:rsid w:val="007C2F2E"/>
    <w:rsid w:val="007D1E94"/>
    <w:rsid w:val="008313F9"/>
    <w:rsid w:val="00882EE9"/>
    <w:rsid w:val="00896CEB"/>
    <w:rsid w:val="008D5094"/>
    <w:rsid w:val="008F0634"/>
    <w:rsid w:val="009201F4"/>
    <w:rsid w:val="009264B2"/>
    <w:rsid w:val="00957E83"/>
    <w:rsid w:val="00961D8A"/>
    <w:rsid w:val="009805E6"/>
    <w:rsid w:val="00981673"/>
    <w:rsid w:val="00996A51"/>
    <w:rsid w:val="009D1938"/>
    <w:rsid w:val="00A15FA9"/>
    <w:rsid w:val="00A312E6"/>
    <w:rsid w:val="00A65F54"/>
    <w:rsid w:val="00AA728D"/>
    <w:rsid w:val="00AB71F7"/>
    <w:rsid w:val="00AE19E5"/>
    <w:rsid w:val="00B11C15"/>
    <w:rsid w:val="00B70E4E"/>
    <w:rsid w:val="00BC0B03"/>
    <w:rsid w:val="00BC0F10"/>
    <w:rsid w:val="00BF6BBC"/>
    <w:rsid w:val="00C92928"/>
    <w:rsid w:val="00CB2DBD"/>
    <w:rsid w:val="00CC30A8"/>
    <w:rsid w:val="00D227B6"/>
    <w:rsid w:val="00D22E65"/>
    <w:rsid w:val="00D926ED"/>
    <w:rsid w:val="00DA287B"/>
    <w:rsid w:val="00DC4C91"/>
    <w:rsid w:val="00DD1A10"/>
    <w:rsid w:val="00DE0ABD"/>
    <w:rsid w:val="00E9081E"/>
    <w:rsid w:val="00E96CEA"/>
    <w:rsid w:val="00EC03A5"/>
    <w:rsid w:val="00EF136C"/>
    <w:rsid w:val="00F046BC"/>
    <w:rsid w:val="00F27CF2"/>
    <w:rsid w:val="00F43822"/>
    <w:rsid w:val="00F70837"/>
    <w:rsid w:val="00FB6871"/>
    <w:rsid w:val="00FC1FA5"/>
    <w:rsid w:val="00FC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3252">
      <w:bodyDiv w:val="1"/>
      <w:marLeft w:val="0"/>
      <w:marRight w:val="0"/>
      <w:marTop w:val="0"/>
      <w:marBottom w:val="0"/>
      <w:divBdr>
        <w:top w:val="none" w:sz="0" w:space="0" w:color="auto"/>
        <w:left w:val="none" w:sz="0" w:space="0" w:color="auto"/>
        <w:bottom w:val="none" w:sz="0" w:space="0" w:color="auto"/>
        <w:right w:val="none" w:sz="0" w:space="0" w:color="auto"/>
      </w:divBdr>
    </w:div>
    <w:div w:id="1642150484">
      <w:bodyDiv w:val="1"/>
      <w:marLeft w:val="0"/>
      <w:marRight w:val="0"/>
      <w:marTop w:val="0"/>
      <w:marBottom w:val="0"/>
      <w:divBdr>
        <w:top w:val="none" w:sz="0" w:space="0" w:color="auto"/>
        <w:left w:val="none" w:sz="0" w:space="0" w:color="auto"/>
        <w:bottom w:val="none" w:sz="0" w:space="0" w:color="auto"/>
        <w:right w:val="none" w:sz="0" w:space="0" w:color="auto"/>
      </w:divBdr>
    </w:div>
    <w:div w:id="18675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3B2F-6A04-4614-AD38-8B3E4B6D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2017-04-12T14:43:00Z</dcterms:created>
  <dcterms:modified xsi:type="dcterms:W3CDTF">2017-04-12T14:43:00Z</dcterms:modified>
</cp:coreProperties>
</file>